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both"/>
        <w:rPr>
          <w:rFonts w:ascii="Arial" w:hAnsi="Arial" w:cs="Arial"/>
          <w:color w:val="001740"/>
          <w:sz w:val="28"/>
          <w:szCs w:val="28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editId="03BB53EC" wp14:anchorId="7E527B3A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13970" t="13970" r="14605" b="14605"/>
                <wp:wrapNone/>
                <wp:docPr id="1" name="Line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from="108pt,45pt" to="450pt,45pt" w14:anchorId="3FD97265"/>
            </w:pict>
          </mc:Fallback>
        </mc:AlternateContent>
      </w:r>
      <w:r>
        <w:rPr>
          <w:noProof/>
        </w:rPr>
        <w:drawing>
          <wp:inline distT="0" distB="0" distL="0" distR="0" wp14:anchorId="3D4E5B54" wp14:editId="750861EC">
            <wp:extent cx="1257300" cy="465455"/>
            <wp:effectExtent l="0" t="0" r="0" b="0"/>
            <wp:docPr id="3" name="Imag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90F5B" w:rsidR="00A64157">
        <w:rPr>
          <w:lang w:val="en-US"/>
        </w:rPr>
        <w:tab/>
      </w:r>
      <w:r w:rsidRPr="00F90F5B" w:rsidR="00A64157">
        <w:rPr>
          <w:lang w:val="en-US"/>
        </w:rPr>
        <w:tab/>
      </w:r>
      <w:r w:rsidRPr="00F90F5B" w:rsidR="00A64157">
        <w:rPr>
          <w:lang w:val="en-US"/>
        </w:rPr>
        <w:tab/>
      </w:r>
      <w:r w:rsidRPr="00F90F5B" w:rsidR="00A64157">
        <w:rPr>
          <w:lang w:val="en-US"/>
        </w:rPr>
        <w:tab/>
      </w:r>
      <w:r w:rsidRPr="00F90F5B" w:rsidR="00A64157">
        <w:rPr>
          <w:lang w:val="en-US"/>
        </w:rPr>
        <w:tab/>
      </w:r>
      <w:r w:rsidRPr="00F90F5B" w:rsidR="002F7BCF">
        <w:rPr>
          <w:lang w:val="en-US"/>
        </w:rPr>
        <w:tab/>
      </w:r>
      <w:r w:rsidRPr="002A3E5E" w:rsidR="002A3E5E">
        <w:rPr>
          <w:rFonts w:ascii="Arial" w:hAnsi="Arial" w:cs="Arial"/>
          <w:color w:val="001740"/>
          <w:sz w:val="32"/>
          <w:szCs w:val="32"/>
          <w:lang w:val="en-US"/>
        </w:rPr>
        <w:t xml:space="preserve">              Mipolam </w:t>
      </w:r>
      <w:r w:rsidRPr="00F90F5B" w:rsidR="009505F8">
        <w:rPr>
          <w:rFonts w:ascii="Arial" w:hAnsi="Arial" w:cs="Arial"/>
          <w:color w:val="001740"/>
          <w:sz w:val="32"/>
          <w:szCs w:val="32"/>
          <w:lang w:val="en-US"/>
        </w:rPr>
        <w:t xml:space="preserve">EL7</w:t>
      </w:r>
    </w:p>
    <w:p w:rsidRPr="00F90F5B" w:rsidR="00A64157" w:rsidP="00E70CBC" w:rsidRDefault="00A64157" w14:paraId="1AD7DDBE" w14:textId="77777777">
      <w:pPr>
        <w:jc w:val="both"/>
        <w:rPr>
          <w:rFonts w:ascii="Arial" w:hAnsi="Arial" w:cs="Arial"/>
          <w:color w:val="001740"/>
          <w:sz w:val="28"/>
          <w:szCs w:val="28"/>
          <w:lang w:val="en-US"/>
        </w:rPr>
      </w:pPr>
    </w:p>
    <w:p w:rsidRPr="00F90F5B" w:rsidR="00391DCD" w:rsidP="00E70CBC" w:rsidRDefault="00391DCD" w14:paraId="66628981" w14:textId="77777777">
      <w:pPr>
        <w:jc w:val="both"/>
        <w:rPr>
          <w:rFonts w:ascii="Arial" w:hAnsi="Arial" w:cs="Arial"/>
          <w:color w:val="001740"/>
          <w:sz w:val="28"/>
          <w:szCs w:val="28"/>
          <w:lang w:val="en-US"/>
        </w:rPr>
      </w:pPr>
    </w:p>
    <w:p w:rsidRPr="00F90F5B" w:rsidR="005E2D20" w:rsidP="00E70CBC" w:rsidRDefault="005E2D20" w14:paraId="6D41FEA4" w14:textId="77777777">
      <w:pPr>
        <w:jc w:val="both"/>
        <w:rPr>
          <w:rFonts w:ascii="Arial" w:hAnsi="Arial" w:cs="Arial"/>
          <w:color w:val="001740"/>
          <w:sz w:val="28"/>
          <w:szCs w:val="28"/>
          <w:lang w:val="en-US"/>
        </w:rPr>
      </w:pPr>
    </w:p>
    <w:p>
      <w:pPr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  <w:r w:rsidRPr="00F90F5B">
        <w:rPr>
          <w:rFonts w:ascii="Arial" w:hAnsi="Arial" w:cs="Arial"/>
          <w:b/>
          <w:bCs/>
          <w:color w:val="001740"/>
          <w:sz w:val="28"/>
          <w:szCs w:val="28"/>
          <w:lang w:val="en-GB"/>
        </w:rPr>
        <w:t xml:space="preserve">MIPOLAM </w:t>
      </w:r>
      <w:r w:rsidRPr="00F90F5B" w:rsidR="00F72943">
        <w:rPr>
          <w:rFonts w:ascii="Arial" w:hAnsi="Arial" w:cs="Arial"/>
          <w:b/>
          <w:bCs/>
          <w:color w:val="001740"/>
          <w:sz w:val="28"/>
          <w:szCs w:val="28"/>
          <w:lang w:val="en-GB"/>
        </w:rPr>
        <w:t xml:space="preserve">EL7 </w:t>
      </w:r>
      <w:r w:rsidRPr="00F72943" w:rsidR="00F72943">
        <w:rPr>
          <w:rFonts w:ascii="Arial" w:hAnsi="Arial" w:cs="Arial"/>
          <w:color w:val="001740"/>
          <w:sz w:val="28"/>
          <w:szCs w:val="28"/>
          <w:lang w:val="en-GB"/>
        </w:rPr>
        <w:t xml:space="preserve">é um </w:t>
      </w:r>
      <w:r w:rsidRPr="00F72943" w:rsidR="00F72943">
        <w:rPr>
          <w:rFonts w:ascii="Arial" w:hAnsi="Arial" w:cs="Arial"/>
          <w:color w:val="001740"/>
          <w:sz w:val="28"/>
          <w:szCs w:val="28"/>
          <w:lang w:val="en-GB"/>
        </w:rPr>
        <w:t xml:space="preserve">revestimento </w:t>
      </w:r>
      <w:r w:rsidRPr="00F72943" w:rsidR="00F72943">
        <w:rPr>
          <w:rFonts w:ascii="Arial" w:hAnsi="Arial" w:cs="Arial"/>
          <w:color w:val="001740"/>
          <w:sz w:val="28"/>
          <w:szCs w:val="28"/>
          <w:lang w:val="en-GB"/>
        </w:rPr>
        <w:t xml:space="preserve">vinílico homogéneo, flexível e dissipativo, </w:t>
      </w:r>
      <w:r w:rsidR="00E70CBC">
        <w:rPr>
          <w:rFonts w:ascii="Arial" w:hAnsi="Arial" w:cs="Arial"/>
          <w:color w:val="001740"/>
          <w:sz w:val="28"/>
          <w:szCs w:val="28"/>
          <w:lang w:val="en-GB"/>
        </w:rPr>
        <w:t xml:space="preserve">disponível em </w:t>
      </w:r>
      <w:r w:rsidR="00E70CBC">
        <w:rPr>
          <w:rFonts w:ascii="Arial" w:hAnsi="Arial" w:cs="Arial"/>
          <w:color w:val="001740"/>
          <w:sz w:val="28"/>
          <w:szCs w:val="28"/>
          <w:lang w:val="en-GB"/>
        </w:rPr>
        <w:t xml:space="preserve">placas e ladrilhos</w:t>
      </w:r>
      <w:r w:rsidRPr="00F72943" w:rsidR="00F72943">
        <w:rPr>
          <w:rFonts w:ascii="Arial" w:hAnsi="Arial" w:cs="Arial"/>
          <w:color w:val="001740"/>
          <w:sz w:val="28"/>
          <w:szCs w:val="28"/>
          <w:lang w:val="en-GB"/>
        </w:rPr>
        <w:t xml:space="preserve">. </w:t>
      </w:r>
    </w:p>
    <w:p w:rsidR="00F90F5B" w:rsidP="00E70CBC" w:rsidRDefault="00F90F5B" w14:paraId="0AFD2D3E" w14:textId="77777777">
      <w:pPr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</w:p>
    <w:p>
      <w:pPr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  <w:r>
        <w:rPr>
          <w:rFonts w:ascii="Arial" w:hAnsi="Arial" w:cs="Arial"/>
          <w:color w:val="001740"/>
          <w:sz w:val="28"/>
          <w:szCs w:val="28"/>
          <w:lang w:val="en-GB"/>
        </w:rPr>
        <w:t xml:space="preserve">O material homogéneo de 2 mm é </w:t>
      </w:r>
      <w:r w:rsidRPr="00F72943" w:rsidR="00F72943">
        <w:rPr>
          <w:rFonts w:ascii="Arial" w:hAnsi="Arial" w:cs="Arial"/>
          <w:color w:val="001740"/>
          <w:sz w:val="28"/>
          <w:szCs w:val="28"/>
          <w:lang w:val="en-GB"/>
        </w:rPr>
        <w:t xml:space="preserve">calandrado </w:t>
      </w:r>
      <w:r w:rsidRPr="00F72943" w:rsidR="00F72943">
        <w:rPr>
          <w:rFonts w:ascii="Arial" w:hAnsi="Arial" w:cs="Arial"/>
          <w:color w:val="001740"/>
          <w:sz w:val="28"/>
          <w:szCs w:val="28"/>
          <w:lang w:val="en-GB"/>
        </w:rPr>
        <w:t xml:space="preserve">e </w:t>
      </w:r>
      <w:r w:rsidRPr="00F72943" w:rsidR="00F72943">
        <w:rPr>
          <w:rFonts w:ascii="Arial" w:hAnsi="Arial" w:cs="Arial"/>
          <w:color w:val="001740"/>
          <w:sz w:val="28"/>
          <w:szCs w:val="28"/>
          <w:lang w:val="en-GB"/>
        </w:rPr>
        <w:t xml:space="preserve">prensado</w:t>
      </w:r>
      <w:r w:rsidR="00F51F26">
        <w:rPr>
          <w:rFonts w:ascii="Arial" w:hAnsi="Arial" w:cs="Arial"/>
          <w:color w:val="001740"/>
          <w:sz w:val="28"/>
          <w:szCs w:val="28"/>
          <w:lang w:val="en-GB"/>
        </w:rPr>
        <w:t xml:space="preserve">. </w:t>
      </w:r>
      <w:r w:rsidR="00F51F26">
        <w:rPr>
          <w:rFonts w:ascii="Arial" w:hAnsi="Arial" w:cs="Arial"/>
          <w:color w:val="001740"/>
          <w:sz w:val="28"/>
          <w:szCs w:val="28"/>
          <w:lang w:val="en-GB"/>
        </w:rPr>
        <w:t xml:space="preserve">Possui </w:t>
      </w:r>
      <w:r w:rsidRPr="00F72943" w:rsidR="00F72943">
        <w:rPr>
          <w:rFonts w:ascii="Arial" w:hAnsi="Arial" w:cs="Arial"/>
          <w:color w:val="001740"/>
          <w:sz w:val="28"/>
          <w:szCs w:val="28"/>
          <w:lang w:val="en-GB"/>
        </w:rPr>
        <w:t xml:space="preserve">propriedades anti-estáticas </w:t>
      </w:r>
      <w:r w:rsidR="00F51F26">
        <w:rPr>
          <w:rFonts w:ascii="Arial" w:hAnsi="Arial" w:cs="Arial"/>
          <w:color w:val="001740"/>
          <w:sz w:val="28"/>
          <w:szCs w:val="28"/>
          <w:lang w:val="en-GB"/>
        </w:rPr>
        <w:t xml:space="preserve">permanentes </w:t>
      </w:r>
      <w:r w:rsidRPr="00F72943" w:rsidR="00F72943">
        <w:rPr>
          <w:rFonts w:ascii="Arial" w:hAnsi="Arial" w:cs="Arial"/>
          <w:color w:val="001740"/>
          <w:sz w:val="28"/>
          <w:szCs w:val="28"/>
          <w:lang w:val="en-GB"/>
        </w:rPr>
        <w:t xml:space="preserve">(&lt; 100 V). </w:t>
      </w:r>
      <w:r w:rsidRPr="00F72943" w:rsidR="00F72943">
        <w:rPr>
          <w:rFonts w:ascii="Arial" w:hAnsi="Arial" w:cs="Arial"/>
          <w:color w:val="001740"/>
          <w:sz w:val="28"/>
          <w:szCs w:val="28"/>
          <w:lang w:val="en-GB"/>
        </w:rPr>
        <w:t xml:space="preserve">Actua como um </w:t>
      </w:r>
      <w:r>
        <w:rPr>
          <w:rFonts w:ascii="Arial" w:hAnsi="Arial" w:cs="Arial"/>
          <w:color w:val="001740"/>
          <w:sz w:val="28"/>
          <w:szCs w:val="28"/>
          <w:lang w:val="en-GB"/>
        </w:rPr>
        <w:t xml:space="preserve">dissipador contínuo </w:t>
      </w:r>
      <w:r w:rsidR="00F76C88">
        <w:rPr>
          <w:rFonts w:ascii="Arial" w:hAnsi="Arial" w:cs="Arial"/>
          <w:color w:val="001740"/>
          <w:sz w:val="28"/>
          <w:szCs w:val="28"/>
          <w:lang w:val="en-GB"/>
        </w:rPr>
        <w:t xml:space="preserve">10^6 </w:t>
      </w:r>
      <w:r w:rsidRPr="00F72943" w:rsidR="00F72943">
        <w:rPr>
          <w:rFonts w:ascii="Arial" w:hAnsi="Arial" w:cs="Arial"/>
          <w:color w:val="001740"/>
          <w:sz w:val="28"/>
          <w:szCs w:val="28"/>
          <w:lang w:val="en-GB"/>
        </w:rPr>
        <w:t xml:space="preserve">&lt; Rt &lt; </w:t>
      </w:r>
      <w:r w:rsidR="00F76C88">
        <w:rPr>
          <w:rFonts w:ascii="Arial" w:hAnsi="Arial" w:cs="Arial"/>
          <w:color w:val="001740"/>
          <w:sz w:val="28"/>
          <w:szCs w:val="28"/>
          <w:lang w:val="en-GB"/>
        </w:rPr>
        <w:t xml:space="preserve">10^8 </w:t>
      </w:r>
      <w:r w:rsidRPr="00F72943" w:rsidR="00F72943">
        <w:rPr>
          <w:rFonts w:ascii="Arial" w:hAnsi="Arial" w:cs="Arial"/>
          <w:color w:val="001740"/>
          <w:sz w:val="28"/>
          <w:szCs w:val="28"/>
          <w:lang w:val="en-GB"/>
        </w:rPr>
        <w:t xml:space="preserve">(EN 1081)</w:t>
      </w:r>
      <w:r w:rsidR="00F93948">
        <w:rPr>
          <w:rFonts w:ascii="Arial" w:hAnsi="Arial" w:cs="Arial"/>
          <w:color w:val="001740"/>
          <w:sz w:val="28"/>
          <w:szCs w:val="28"/>
          <w:lang w:val="en-GB"/>
        </w:rPr>
        <w:t xml:space="preserve">.</w:t>
      </w:r>
    </w:p>
    <w:p w:rsidR="00F90F5B" w:rsidP="00E70CBC" w:rsidRDefault="00F90F5B" w14:paraId="54748486" w14:textId="77777777">
      <w:pPr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</w:p>
    <w:p w:rsidR="00F90F5B" w:rsidP="00F90F5B" w:rsidRDefault="00F90F5B" w14:paraId="150CEAFD" w14:textId="77777777">
      <w:pPr>
        <w:autoSpaceDE w:val="0"/>
        <w:autoSpaceDN w:val="0"/>
        <w:adjustRightInd w:val="0"/>
        <w:jc w:val="both"/>
        <w:rPr>
          <w:rFonts w:ascii="Arial" w:hAnsi="Arial" w:cs="Arial"/>
          <w:bCs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  <w:r w:rsidRPr="00F90F5B">
        <w:rPr>
          <w:rFonts w:ascii="Arial" w:hAnsi="Arial" w:cs="Arial"/>
          <w:color w:val="001740"/>
          <w:sz w:val="28"/>
          <w:szCs w:val="28"/>
          <w:lang w:val="en-GB"/>
        </w:rPr>
        <w:t xml:space="preserve">Este revestimento de pavimento é tratado com </w:t>
      </w:r>
      <w:r>
        <w:rPr>
          <w:rFonts w:ascii="Arial" w:hAnsi="Arial" w:cs="Arial"/>
          <w:color w:val="001740"/>
          <w:sz w:val="28"/>
          <w:szCs w:val="28"/>
          <w:lang w:val="en-GB"/>
        </w:rPr>
        <w:t xml:space="preserve">Evercare®</w:t>
      </w:r>
      <w:r w:rsidRPr="00F90F5B">
        <w:rPr>
          <w:rFonts w:ascii="Arial" w:hAnsi="Arial" w:cs="Arial"/>
          <w:color w:val="001740"/>
          <w:sz w:val="28"/>
          <w:szCs w:val="28"/>
          <w:lang w:val="en-GB"/>
        </w:rPr>
        <w:t xml:space="preserve">: as mais recentes melhorias no tratamento de superfícies de poliuretano obtidas por reticulação a laser UV. </w:t>
      </w:r>
      <w:r>
        <w:rPr>
          <w:rFonts w:ascii="Arial" w:hAnsi="Arial" w:cs="Arial"/>
          <w:color w:val="001740"/>
          <w:sz w:val="28"/>
          <w:szCs w:val="28"/>
          <w:lang w:val="en-GB"/>
        </w:rPr>
        <w:t xml:space="preserve">O Evercare® </w:t>
      </w:r>
      <w:r w:rsidRPr="00F90F5B">
        <w:rPr>
          <w:rFonts w:ascii="Arial" w:hAnsi="Arial" w:cs="Arial"/>
          <w:color w:val="001740"/>
          <w:sz w:val="28"/>
          <w:szCs w:val="28"/>
          <w:lang w:val="en-GB"/>
        </w:rPr>
        <w:t xml:space="preserve">evita as manchas provocadas por produtos químicos utilizados nos cuidados de saúde, como a betadina, a eosina ou o gel antibacteriano para as mãos, e aumenta a durabilidade do pavimento.</w:t>
      </w:r>
    </w:p>
    <w:p>
      <w:pPr>
        <w:autoSpaceDE w:val="0"/>
        <w:autoSpaceDN w:val="0"/>
        <w:adjustRightInd w:val="0"/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  <w:r w:rsidRPr="00F90F5B">
        <w:rPr>
          <w:rFonts w:ascii="Arial" w:hAnsi="Arial" w:cs="Arial"/>
          <w:color w:val="001740"/>
          <w:sz w:val="28"/>
          <w:szCs w:val="28"/>
          <w:lang w:val="en-GB"/>
        </w:rPr>
        <w:t xml:space="preserve">Este tratamento tem excelentes características de manutenção; não necessita de cera para toda a vida!</w:t>
      </w:r>
    </w:p>
    <w:p w:rsidR="006C75BC" w:rsidP="00F90F5B" w:rsidRDefault="006C75BC" w14:paraId="34B3F71D" w14:textId="77777777">
      <w:pPr>
        <w:autoSpaceDE w:val="0"/>
        <w:autoSpaceDN w:val="0"/>
        <w:adjustRightInd w:val="0"/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  <w:r w:rsidRPr="006C75BC">
        <w:rPr>
          <w:rFonts w:ascii="Arial" w:hAnsi="Arial" w:cs="Arial"/>
          <w:color w:val="001740"/>
          <w:sz w:val="28"/>
          <w:szCs w:val="28"/>
          <w:lang w:val="en-GB"/>
        </w:rPr>
        <w:t xml:space="preserve">De acordo com a norma ISO 21702, o Mipolam </w:t>
      </w:r>
      <w:r>
        <w:rPr>
          <w:rFonts w:ascii="Arial" w:hAnsi="Arial" w:cs="Arial"/>
          <w:color w:val="001740"/>
          <w:sz w:val="28"/>
          <w:szCs w:val="28"/>
          <w:lang w:val="en-GB"/>
        </w:rPr>
        <w:t xml:space="preserve">EL7 </w:t>
      </w:r>
      <w:r w:rsidRPr="006C75BC">
        <w:rPr>
          <w:rFonts w:ascii="Arial" w:hAnsi="Arial" w:cs="Arial"/>
          <w:color w:val="001740"/>
          <w:sz w:val="28"/>
          <w:szCs w:val="28"/>
          <w:lang w:val="en-GB"/>
        </w:rPr>
        <w:t xml:space="preserve">tem </w:t>
      </w:r>
      <w:r w:rsidRPr="006C75BC">
        <w:rPr>
          <w:rFonts w:ascii="Arial" w:hAnsi="Arial" w:cs="Arial"/>
          <w:b/>
          <w:bCs/>
          <w:color w:val="001740"/>
          <w:sz w:val="28"/>
          <w:szCs w:val="28"/>
          <w:lang w:val="en-GB"/>
        </w:rPr>
        <w:t xml:space="preserve">atividade antiviral </w:t>
      </w:r>
      <w:r w:rsidRPr="006C75BC">
        <w:rPr>
          <w:rFonts w:ascii="Arial" w:hAnsi="Arial" w:cs="Arial"/>
          <w:color w:val="001740"/>
          <w:sz w:val="28"/>
          <w:szCs w:val="28"/>
          <w:lang w:val="en-GB"/>
        </w:rPr>
        <w:t xml:space="preserve">contra </w:t>
      </w:r>
      <w:r w:rsidRPr="006C75BC">
        <w:rPr>
          <w:rFonts w:ascii="Arial" w:hAnsi="Arial" w:cs="Arial"/>
          <w:color w:val="001740"/>
          <w:sz w:val="28"/>
          <w:szCs w:val="28"/>
          <w:lang w:val="en-GB"/>
        </w:rPr>
        <w:t xml:space="preserve">os Coronavírus Humanos: </w:t>
      </w:r>
      <w:r w:rsidRPr="006C75BC">
        <w:rPr>
          <w:rFonts w:ascii="Arial" w:hAnsi="Arial" w:cs="Arial"/>
          <w:color w:val="001740"/>
          <w:sz w:val="28"/>
          <w:szCs w:val="28"/>
          <w:lang w:val="en-GB"/>
        </w:rPr>
        <w:t xml:space="preserve">reduz o número de vírus em 99,7% após 2h00. </w:t>
      </w:r>
    </w:p>
    <w:p>
      <w:pPr>
        <w:autoSpaceDE w:val="0"/>
        <w:autoSpaceDN w:val="0"/>
        <w:adjustRightInd w:val="0"/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  <w:r w:rsidRPr="006C75BC">
        <w:rPr>
          <w:rFonts w:ascii="Arial" w:hAnsi="Arial" w:cs="Arial"/>
          <w:color w:val="001740"/>
          <w:sz w:val="28"/>
          <w:szCs w:val="28"/>
          <w:lang w:val="en-GB"/>
        </w:rPr>
        <w:t xml:space="preserve">De acordo com a norma ISO 22196, o Mipolam </w:t>
      </w:r>
      <w:r>
        <w:rPr>
          <w:rFonts w:ascii="Arial" w:hAnsi="Arial" w:cs="Arial"/>
          <w:color w:val="001740"/>
          <w:sz w:val="28"/>
          <w:szCs w:val="28"/>
          <w:lang w:val="en-GB"/>
        </w:rPr>
        <w:t xml:space="preserve">EL7 </w:t>
      </w:r>
      <w:r w:rsidRPr="006C75BC">
        <w:rPr>
          <w:rFonts w:ascii="Arial" w:hAnsi="Arial" w:cs="Arial"/>
          <w:color w:val="001740"/>
          <w:sz w:val="28"/>
          <w:szCs w:val="28"/>
          <w:lang w:val="en-GB"/>
        </w:rPr>
        <w:t xml:space="preserve">tem uma </w:t>
      </w:r>
      <w:r w:rsidRPr="006C75BC">
        <w:rPr>
          <w:rFonts w:ascii="Arial" w:hAnsi="Arial" w:cs="Arial"/>
          <w:b/>
          <w:bCs/>
          <w:color w:val="001740"/>
          <w:sz w:val="28"/>
          <w:szCs w:val="28"/>
          <w:lang w:val="en-GB"/>
        </w:rPr>
        <w:t xml:space="preserve">atividade antibacteriana </w:t>
      </w:r>
      <w:r w:rsidRPr="006C75BC">
        <w:rPr>
          <w:rFonts w:ascii="Arial" w:hAnsi="Arial" w:cs="Arial"/>
          <w:color w:val="001740"/>
          <w:sz w:val="28"/>
          <w:szCs w:val="28"/>
          <w:lang w:val="en-GB"/>
        </w:rPr>
        <w:t xml:space="preserve">contra E. coli, S. aureus </w:t>
      </w:r>
      <w:r w:rsidRPr="006C75BC">
        <w:rPr>
          <w:rFonts w:ascii="Arial" w:hAnsi="Arial" w:cs="Arial"/>
          <w:color w:val="001740"/>
          <w:sz w:val="28"/>
          <w:szCs w:val="28"/>
          <w:lang w:val="en-GB"/>
        </w:rPr>
        <w:t xml:space="preserve">e MRSA </w:t>
      </w:r>
      <w:r w:rsidRPr="006C75BC">
        <w:rPr>
          <w:rFonts w:ascii="Arial" w:hAnsi="Arial" w:cs="Arial"/>
          <w:color w:val="001740"/>
          <w:sz w:val="28"/>
          <w:szCs w:val="28"/>
          <w:lang w:val="en-GB"/>
        </w:rPr>
        <w:t xml:space="preserve">de 99% após 24h00.</w:t>
      </w:r>
    </w:p>
    <w:p w:rsidRPr="00F90F5B" w:rsidR="006C75BC" w:rsidP="00F90F5B" w:rsidRDefault="006C75BC" w14:paraId="316308C3" w14:textId="77777777">
      <w:pPr>
        <w:autoSpaceDE w:val="0"/>
        <w:autoSpaceDN w:val="0"/>
        <w:adjustRightInd w:val="0"/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</w:p>
    <w:p w:rsidRPr="00F90F5B" w:rsidR="00F90F5B" w:rsidP="00F90F5B" w:rsidRDefault="00F90F5B" w14:paraId="3F540180" w14:textId="77777777">
      <w:pPr>
        <w:autoSpaceDE w:val="0"/>
        <w:autoSpaceDN w:val="0"/>
        <w:adjustRightInd w:val="0"/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  <w:r w:rsidRPr="00F90F5B">
        <w:rPr>
          <w:rFonts w:ascii="Arial" w:hAnsi="Arial" w:cs="Arial"/>
          <w:b/>
          <w:bCs/>
          <w:color w:val="001740"/>
          <w:sz w:val="28"/>
          <w:szCs w:val="28"/>
          <w:lang w:val="en-GB"/>
        </w:rPr>
        <w:t xml:space="preserve">O MIPOLAM EL7 </w:t>
      </w:r>
      <w:r w:rsidRPr="00F90F5B">
        <w:rPr>
          <w:rFonts w:ascii="Arial" w:hAnsi="Arial" w:cs="Arial"/>
          <w:color w:val="001740"/>
          <w:sz w:val="28"/>
          <w:szCs w:val="28"/>
          <w:lang w:val="en-GB"/>
        </w:rPr>
        <w:t xml:space="preserve">actua como um dissipador contínuo 10⁶ ≤ Rt ≤ 10</w:t>
      </w:r>
      <w:r w:rsidRPr="00F90F5B">
        <w:rPr>
          <w:rFonts w:ascii="Arial" w:hAnsi="Arial" w:cs="Arial"/>
          <w:color w:val="001740"/>
          <w:sz w:val="28"/>
          <w:szCs w:val="28"/>
          <w:lang w:val="en-GB"/>
        </w:rPr>
        <w:t xml:space="preserve">⁸. Possui propriedades antiestáticas permanentes (&lt; 100 V). O produto </w:t>
      </w:r>
      <w:r w:rsidRPr="00F90F5B">
        <w:rPr>
          <w:rFonts w:ascii="Arial" w:hAnsi="Arial" w:cs="Arial"/>
          <w:color w:val="001740"/>
          <w:sz w:val="28"/>
          <w:szCs w:val="28"/>
          <w:lang w:val="en-GB"/>
        </w:rPr>
        <w:t xml:space="preserve">tem de ser ligado à terra </w:t>
      </w:r>
      <w:r w:rsidRPr="00F90F5B">
        <w:rPr>
          <w:rFonts w:ascii="Arial" w:hAnsi="Arial" w:cs="Arial"/>
          <w:color w:val="001740"/>
          <w:sz w:val="28"/>
          <w:szCs w:val="28"/>
          <w:lang w:val="en-GB"/>
        </w:rPr>
        <w:t xml:space="preserve">com uma tira de cobre ESD (cf. acabamentos) para cumprir o seu desempenho total. </w:t>
      </w:r>
    </w:p>
    <w:p w:rsidRPr="00F90F5B" w:rsidR="00F90F5B" w:rsidP="00F90F5B" w:rsidRDefault="00F90F5B" w14:paraId="3169B5BB" w14:textId="77777777">
      <w:pPr>
        <w:autoSpaceDE w:val="0"/>
        <w:autoSpaceDN w:val="0"/>
        <w:adjustRightInd w:val="0"/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  <w:r w:rsidRPr="00F90F5B">
        <w:rPr>
          <w:rFonts w:ascii="Arial" w:hAnsi="Arial" w:cs="Arial"/>
          <w:color w:val="001740"/>
          <w:sz w:val="28"/>
          <w:szCs w:val="28"/>
          <w:lang w:val="en-GB"/>
        </w:rPr>
        <w:t xml:space="preserve">É 100% isento de ftalatos.</w:t>
      </w:r>
    </w:p>
    <w:p w:rsidRPr="00F90F5B" w:rsidR="00F90F5B" w:rsidP="00F90F5B" w:rsidRDefault="00F90F5B" w14:paraId="6711D366" w14:textId="77777777">
      <w:pPr>
        <w:autoSpaceDE w:val="0"/>
        <w:autoSpaceDN w:val="0"/>
        <w:adjustRightInd w:val="0"/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  <w:r w:rsidRPr="00F90F5B">
        <w:rPr>
          <w:rFonts w:ascii="Arial" w:hAnsi="Arial" w:cs="Arial"/>
          <w:color w:val="001740"/>
          <w:sz w:val="28"/>
          <w:szCs w:val="28"/>
          <w:lang w:val="en-GB"/>
        </w:rPr>
        <w:t xml:space="preserve">O produto não é reativo à indentação residual com um valor ≤ 0,02 mm (EN ISO 24343-1).</w:t>
      </w:r>
    </w:p>
    <w:p>
      <w:pPr>
        <w:autoSpaceDE w:val="0"/>
        <w:autoSpaceDN w:val="0"/>
        <w:adjustRightInd w:val="0"/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  <w:r w:rsidRPr="00F90F5B">
        <w:rPr>
          <w:rFonts w:ascii="Arial" w:hAnsi="Arial" w:cs="Arial"/>
          <w:color w:val="001740"/>
          <w:sz w:val="28"/>
          <w:szCs w:val="28"/>
          <w:lang w:val="en-GB"/>
        </w:rPr>
        <w:t xml:space="preserve">O pavimento está em conformidade com a norma EN ISO 10581 e oferece um teor de ligante do tipo II, é adequado para áreas de tráfego intenso e tem uma resistência ao fogo de Bfl-s1.</w:t>
      </w:r>
    </w:p>
    <w:p>
      <w:pPr>
        <w:autoSpaceDE w:val="0"/>
        <w:autoSpaceDN w:val="0"/>
        <w:adjustRightInd w:val="0"/>
        <w:jc w:val="both"/>
        <w:rPr>
          <w:rFonts w:ascii="Arial" w:hAnsi="Arial" w:cs="Arial"/>
          <w:color w:val="001740"/>
          <w:sz w:val="28"/>
          <w:szCs w:val="28"/>
          <w:lang w:val="en-GB"/>
        </w:rPr>
      </w:pPr>
      <w:r w:rsidRPr="00F90F5B">
        <w:rPr>
          <w:rFonts w:ascii="Arial" w:hAnsi="Arial" w:cs="Arial"/>
          <w:color w:val="001740"/>
          <w:sz w:val="28"/>
          <w:szCs w:val="28"/>
          <w:lang w:val="en-GB"/>
        </w:rPr>
        <w:t xml:space="preserve">O produto não é emissivo de compostos orgânicos voláteis com &lt;10 µg/m3 (TVOC após 28 dias ISO 16000-6).</w:t>
      </w:r>
    </w:p>
    <w:sectPr w:rsidR="00F90F5B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45B5E" w:rsidRDefault="00845B5E" w14:paraId="6E91E418" w14:textId="77777777">
      <w:r>
        <w:separator/>
      </w:r>
    </w:p>
  </w:endnote>
  <w:endnote w:type="continuationSeparator" w:id="0">
    <w:p w:rsidR="00845B5E" w:rsidRDefault="00845B5E" w14:paraId="0931654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Pieddepage"/>
      <w:pBdr>
        <w:top w:val="single" w:color="auto" w:sz="12" w:space="2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 xml:space="preserve">Texto de </w:t>
    </w:r>
    <w:r>
      <w:rPr>
        <w:rFonts w:ascii="Arial" w:hAnsi="Arial" w:cs="Arial"/>
        <w:b/>
        <w:bCs/>
        <w:color w:val="001740"/>
        <w:sz w:val="20"/>
        <w:szCs w:val="20"/>
      </w:rPr>
      <w:t xml:space="preserve">descrição do produto</w:t>
    </w:r>
    <w:r>
      <w:rPr>
        <w:rFonts w:ascii="Arial" w:hAnsi="Arial" w:cs="Arial"/>
        <w:b/>
        <w:bCs/>
        <w:color w:val="001740"/>
        <w:sz w:val="20"/>
        <w:szCs w:val="20"/>
      </w:rPr>
      <w:tab/>
    </w:r>
    <w:r>
      <w:rPr>
        <w:rFonts w:ascii="Arial" w:hAnsi="Arial" w:cs="Arial"/>
        <w:b/>
        <w:bCs/>
        <w:color w:val="001740"/>
        <w:sz w:val="20"/>
        <w:szCs w:val="20"/>
      </w:rPr>
      <w:tab/>
    </w:r>
    <w:r w:rsidRPr="005E2D20">
      <w:rPr>
        <w:rFonts w:ascii="Arial" w:hAnsi="Arial" w:cs="Arial"/>
        <w:b/>
        <w:bCs/>
        <w:color w:val="001740"/>
        <w:sz w:val="20"/>
        <w:szCs w:val="20"/>
      </w:rPr>
      <w:t xml:space="preserve">gerflor.com</w:t>
    </w:r>
  </w:p>
  <w:p w:rsidR="008A67F9" w:rsidRDefault="008A67F9" w14:paraId="42234B2D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45B5E" w:rsidRDefault="00845B5E" w14:paraId="198764ED" w14:textId="77777777">
      <w:r>
        <w:separator/>
      </w:r>
    </w:p>
  </w:footnote>
  <w:footnote w:type="continuationSeparator" w:id="0">
    <w:p w:rsidR="00845B5E" w:rsidRDefault="00845B5E" w14:paraId="3FA1F2B3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0C"/>
    <w:rsid w:val="00033820"/>
    <w:rsid w:val="00083B78"/>
    <w:rsid w:val="001A4C91"/>
    <w:rsid w:val="00233B3F"/>
    <w:rsid w:val="002A3E5E"/>
    <w:rsid w:val="002A7AA7"/>
    <w:rsid w:val="002E5ABD"/>
    <w:rsid w:val="002F7BCF"/>
    <w:rsid w:val="00365F5B"/>
    <w:rsid w:val="00391DCD"/>
    <w:rsid w:val="003C57F9"/>
    <w:rsid w:val="003F2054"/>
    <w:rsid w:val="00443832"/>
    <w:rsid w:val="00483499"/>
    <w:rsid w:val="00542F6E"/>
    <w:rsid w:val="005E210C"/>
    <w:rsid w:val="005E2D20"/>
    <w:rsid w:val="006C75BC"/>
    <w:rsid w:val="00845151"/>
    <w:rsid w:val="00845B5E"/>
    <w:rsid w:val="008A67F9"/>
    <w:rsid w:val="008B2678"/>
    <w:rsid w:val="00924EAF"/>
    <w:rsid w:val="0094383F"/>
    <w:rsid w:val="009505F8"/>
    <w:rsid w:val="0099579B"/>
    <w:rsid w:val="00A43D63"/>
    <w:rsid w:val="00A50FBA"/>
    <w:rsid w:val="00A52700"/>
    <w:rsid w:val="00A560B1"/>
    <w:rsid w:val="00A64157"/>
    <w:rsid w:val="00AF7D64"/>
    <w:rsid w:val="00BA3AD1"/>
    <w:rsid w:val="00BB74C9"/>
    <w:rsid w:val="00BC1DF3"/>
    <w:rsid w:val="00C01AE1"/>
    <w:rsid w:val="00C66959"/>
    <w:rsid w:val="00DC0E89"/>
    <w:rsid w:val="00DE4365"/>
    <w:rsid w:val="00DF0520"/>
    <w:rsid w:val="00E70CBC"/>
    <w:rsid w:val="00EB2C12"/>
    <w:rsid w:val="00F21CF6"/>
    <w:rsid w:val="00F43A35"/>
    <w:rsid w:val="00F51F26"/>
    <w:rsid w:val="00F720CF"/>
    <w:rsid w:val="00F72943"/>
    <w:rsid w:val="00F76C88"/>
    <w:rsid w:val="00F90F5B"/>
    <w:rsid w:val="00F9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7606386B"/>
  <w15:chartTrackingRefBased/>
  <w15:docId w15:val="{AF19540B-7827-40FE-A20B-9C15EAAF3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9E3939E865264AB0DB7622138E494D" ma:contentTypeVersion="13" ma:contentTypeDescription="Create a new document." ma:contentTypeScope="" ma:versionID="3821b9c54078f00abd747bcaeda61bae">
  <xsd:schema xmlns:xsd="http://www.w3.org/2001/XMLSchema" xmlns:xs="http://www.w3.org/2001/XMLSchema" xmlns:p="http://schemas.microsoft.com/office/2006/metadata/properties" xmlns:ns3="f437fb0a-bd1d-4cc6-90a6-5b259e8465e8" xmlns:ns4="42377232-67cf-4648-8711-bdcfba3a2859" targetNamespace="http://schemas.microsoft.com/office/2006/metadata/properties" ma:root="true" ma:fieldsID="aa0d36c196cf6f5dba570300cfc8d171" ns3:_="" ns4:_="">
    <xsd:import namespace="f437fb0a-bd1d-4cc6-90a6-5b259e8465e8"/>
    <xsd:import namespace="42377232-67cf-4648-8711-bdcfba3a28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7fb0a-bd1d-4cc6-90a6-5b259e8465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77232-67cf-4648-8711-bdcfba3a285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8DBD1D2-7BE8-4C07-93DC-98043289BF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518BE8-F3C6-4BA9-8F7F-A27F57A4EC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37fb0a-bd1d-4cc6-90a6-5b259e8465e8"/>
    <ds:schemaRef ds:uri="42377232-67cf-4648-8711-bdcfba3a28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A04C6C-2B10-4407-96BD-AC168868318B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42377232-67cf-4648-8711-bdcfba3a2859"/>
    <ds:schemaRef ds:uri="http://schemas.microsoft.com/office/2006/documentManagement/types"/>
    <ds:schemaRef ds:uri="f437fb0a-bd1d-4cc6-90a6-5b259e8465e8"/>
    <ds:schemaRef ds:uri="http://purl.org/dc/terms/"/>
    <ds:schemaRef ds:uri="http://www.w3.org/XML/1998/namespace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Essai MD Web</ap:Template>
  <ap:TotalTime>0</ap:TotalTime>
  <ap:Pages>1</ap:Pages>
  <ap:Words>245</ap:Words>
  <ap:Characters>1317</ap:Characters>
  <ap:Application>Microsoft Office Word</ap:Application>
  <ap:DocSecurity>0</ap:DocSecurity>
  <ap:Lines>10</ap:Lines>
  <ap:Paragraphs>3</ap:Paragraphs>
  <ap:ScaleCrop>false</ap:ScaleCrop>
  <ap:HeadingPairs>
    <vt:vector baseType="variant" size="2">
      <vt:variant>
        <vt:lpstr>Titre</vt:lpstr>
      </vt:variant>
      <vt:variant>
        <vt:i4>1</vt:i4>
      </vt:variant>
    </vt:vector>
  </ap:HeadingPairs>
  <ap:TitlesOfParts>
    <vt:vector baseType="lpstr" size="1">
      <vt:lpstr> </vt:lpstr>
    </vt:vector>
  </ap:TitlesOfParts>
  <ap:Company>Gerflor</ap:Company>
  <ap:LinksUpToDate>false</ap:LinksUpToDate>
  <ap:CharactersWithSpaces>1559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gerflor</dc:creator>
  <keywords>docId:CD09908341CBA629087F4290946943FE</keywords>
  <dc:description/>
  <lastModifiedBy>GZOUR Hajar</lastModifiedBy>
  <revision>2</revision>
  <lastPrinted>1601-01-01T00:00:00.0000000Z</lastPrinted>
  <dcterms:created xsi:type="dcterms:W3CDTF">2023-08-09T14:18:00.0000000Z</dcterms:created>
  <dcterms:modified xsi:type="dcterms:W3CDTF">2023-08-09T14:18:00.0000000Z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0x010100DB9E3939E865264AB0DB7622138E494D</vt:lpwstr>
  </property>
</Properties>
</file>